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8B998" w14:textId="2872E732" w:rsidR="00A021EF" w:rsidRPr="00E65198" w:rsidRDefault="00622E2A" w:rsidP="00622E2A">
      <w:pPr>
        <w:rPr>
          <w:color w:val="CD352F"/>
          <w:sz w:val="32"/>
          <w:szCs w:val="32"/>
        </w:rPr>
      </w:pPr>
      <w:bookmarkStart w:id="0" w:name="_GoBack"/>
      <w:bookmarkEnd w:id="0"/>
      <w:r w:rsidRPr="00E65198">
        <w:rPr>
          <w:noProof/>
          <w:color w:val="CD352F"/>
          <w:sz w:val="32"/>
          <w:szCs w:val="32"/>
        </w:rPr>
        <w:drawing>
          <wp:anchor distT="0" distB="0" distL="114300" distR="114300" simplePos="0" relativeHeight="251658240" behindDoc="0" locked="0" layoutInCell="1" allowOverlap="1" wp14:anchorId="53A4532A" wp14:editId="62175B9B">
            <wp:simplePos x="0" y="0"/>
            <wp:positionH relativeFrom="margin">
              <wp:posOffset>-1143000</wp:posOffset>
            </wp:positionH>
            <wp:positionV relativeFrom="margin">
              <wp:posOffset>-749935</wp:posOffset>
            </wp:positionV>
            <wp:extent cx="2352040" cy="10058400"/>
            <wp:effectExtent l="0" t="0" r="1016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F-FldrInsrtTmplt.jpg"/>
                    <pic:cNvPicPr/>
                  </pic:nvPicPr>
                  <pic:blipFill>
                    <a:blip r:embed="rId9">
                      <a:extLst>
                        <a:ext uri="{28A0092B-C50C-407E-A947-70E740481C1C}">
                          <a14:useLocalDpi xmlns:a14="http://schemas.microsoft.com/office/drawing/2010/main" val="0"/>
                        </a:ext>
                      </a:extLst>
                    </a:blip>
                    <a:stretch>
                      <a:fillRect/>
                    </a:stretch>
                  </pic:blipFill>
                  <pic:spPr>
                    <a:xfrm>
                      <a:off x="0" y="0"/>
                      <a:ext cx="2352040" cy="10058400"/>
                    </a:xfrm>
                    <a:prstGeom prst="rect">
                      <a:avLst/>
                    </a:prstGeom>
                  </pic:spPr>
                </pic:pic>
              </a:graphicData>
            </a:graphic>
          </wp:anchor>
        </w:drawing>
      </w:r>
      <w:r w:rsidR="00B27503">
        <w:rPr>
          <w:color w:val="CD352F"/>
          <w:sz w:val="32"/>
          <w:szCs w:val="32"/>
        </w:rPr>
        <w:t>Live Well Arizona</w:t>
      </w:r>
    </w:p>
    <w:p w14:paraId="1964BC36" w14:textId="77777777" w:rsidR="00622E2A" w:rsidRDefault="00622E2A" w:rsidP="00622E2A"/>
    <w:p w14:paraId="48951BBD" w14:textId="3B54AF9C" w:rsidR="00D107AE" w:rsidRDefault="005B5BC5" w:rsidP="003C232E">
      <w:pPr>
        <w:rPr>
          <w:rFonts w:asciiTheme="majorHAnsi" w:hAnsiTheme="majorHAnsi"/>
          <w:sz w:val="22"/>
          <w:szCs w:val="22"/>
        </w:rPr>
      </w:pPr>
      <w:r>
        <w:rPr>
          <w:rFonts w:asciiTheme="majorHAnsi" w:hAnsiTheme="majorHAnsi"/>
          <w:sz w:val="22"/>
          <w:szCs w:val="22"/>
        </w:rPr>
        <w:t xml:space="preserve">Identifying, connecting and integrating efforts to improve well-being and health statewide – within </w:t>
      </w:r>
      <w:r w:rsidR="006B2C3C">
        <w:rPr>
          <w:rFonts w:asciiTheme="majorHAnsi" w:hAnsiTheme="majorHAnsi"/>
          <w:sz w:val="22"/>
          <w:szCs w:val="22"/>
        </w:rPr>
        <w:t xml:space="preserve">a broader </w:t>
      </w:r>
      <w:r>
        <w:rPr>
          <w:rFonts w:asciiTheme="majorHAnsi" w:hAnsiTheme="majorHAnsi"/>
          <w:sz w:val="22"/>
          <w:szCs w:val="22"/>
        </w:rPr>
        <w:t xml:space="preserve">contextual </w:t>
      </w:r>
      <w:r w:rsidR="006B2C3C">
        <w:rPr>
          <w:rFonts w:asciiTheme="majorHAnsi" w:hAnsiTheme="majorHAnsi"/>
          <w:sz w:val="22"/>
          <w:szCs w:val="22"/>
        </w:rPr>
        <w:t xml:space="preserve">framework. </w:t>
      </w:r>
    </w:p>
    <w:p w14:paraId="52A5419B" w14:textId="31AD6F00" w:rsidR="00494EEB" w:rsidRDefault="006B2C3C" w:rsidP="003C232E">
      <w:pPr>
        <w:pStyle w:val="BasicParagraph"/>
        <w:spacing w:before="270"/>
        <w:rPr>
          <w:rFonts w:ascii="Calibri" w:hAnsi="Calibri" w:cs="Calibri"/>
          <w:sz w:val="20"/>
          <w:szCs w:val="20"/>
        </w:rPr>
      </w:pPr>
      <w:r w:rsidRPr="005B4091">
        <w:rPr>
          <w:rFonts w:asciiTheme="minorHAnsi" w:hAnsiTheme="minorHAnsi"/>
          <w:b/>
          <w:color w:val="CD352F"/>
          <w:sz w:val="22"/>
          <w:szCs w:val="22"/>
        </w:rPr>
        <w:t>Health Is More Than Health Care.</w:t>
      </w:r>
      <w:r>
        <w:rPr>
          <w:rFonts w:ascii="Calibri" w:hAnsi="Calibri" w:cs="Calibri"/>
          <w:sz w:val="20"/>
          <w:szCs w:val="20"/>
        </w:rPr>
        <w:t xml:space="preserve"> </w:t>
      </w:r>
      <w:r w:rsidR="00B27503">
        <w:rPr>
          <w:rFonts w:ascii="Calibri" w:hAnsi="Calibri" w:cs="Calibri"/>
          <w:sz w:val="20"/>
          <w:szCs w:val="20"/>
        </w:rPr>
        <w:t>Live Well Arizona</w:t>
      </w:r>
      <w:r>
        <w:rPr>
          <w:rFonts w:ascii="Calibri" w:hAnsi="Calibri" w:cs="Calibri"/>
          <w:sz w:val="20"/>
          <w:szCs w:val="20"/>
        </w:rPr>
        <w:t xml:space="preserve"> starts from the recognition that </w:t>
      </w:r>
      <w:r w:rsidR="00494EEB">
        <w:rPr>
          <w:rFonts w:ascii="Calibri" w:hAnsi="Calibri" w:cs="Calibri"/>
          <w:sz w:val="20"/>
          <w:szCs w:val="20"/>
        </w:rPr>
        <w:t xml:space="preserve">significant opportunities for improving well-being and health are found not just in health care, but </w:t>
      </w:r>
      <w:r>
        <w:rPr>
          <w:rFonts w:ascii="Calibri" w:hAnsi="Calibri" w:cs="Calibri"/>
          <w:sz w:val="20"/>
          <w:szCs w:val="20"/>
        </w:rPr>
        <w:t xml:space="preserve">everywhere we live, work, learn and play. </w:t>
      </w:r>
    </w:p>
    <w:p w14:paraId="7B25F032" w14:textId="3155C67F" w:rsidR="00C55357" w:rsidRDefault="00800792" w:rsidP="003C232E">
      <w:pPr>
        <w:pStyle w:val="BasicParagraph"/>
        <w:spacing w:before="270"/>
        <w:rPr>
          <w:rFonts w:ascii="Calibri" w:hAnsi="Calibri" w:cs="Calibri"/>
          <w:sz w:val="20"/>
          <w:szCs w:val="20"/>
        </w:rPr>
      </w:pPr>
      <w:r>
        <w:rPr>
          <w:rFonts w:ascii="Calibri" w:hAnsi="Calibri" w:cs="Calibri"/>
          <w:noProof/>
          <w:sz w:val="20"/>
          <w:szCs w:val="20"/>
        </w:rPr>
        <w:drawing>
          <wp:anchor distT="0" distB="0" distL="114300" distR="114300" simplePos="0" relativeHeight="251659264" behindDoc="0" locked="0" layoutInCell="1" allowOverlap="1" wp14:anchorId="40F4D27A" wp14:editId="2B40D5B9">
            <wp:simplePos x="0" y="0"/>
            <wp:positionH relativeFrom="column">
              <wp:posOffset>3987676</wp:posOffset>
            </wp:positionH>
            <wp:positionV relativeFrom="paragraph">
              <wp:posOffset>212384</wp:posOffset>
            </wp:positionV>
            <wp:extent cx="2174240" cy="2192655"/>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OHC-Wheel-06-01-17.png"/>
                    <pic:cNvPicPr/>
                  </pic:nvPicPr>
                  <pic:blipFill>
                    <a:blip r:embed="rId10">
                      <a:extLst>
                        <a:ext uri="{28A0092B-C50C-407E-A947-70E740481C1C}">
                          <a14:useLocalDpi xmlns:a14="http://schemas.microsoft.com/office/drawing/2010/main" val="0"/>
                        </a:ext>
                      </a:extLst>
                    </a:blip>
                    <a:stretch>
                      <a:fillRect/>
                    </a:stretch>
                  </pic:blipFill>
                  <pic:spPr>
                    <a:xfrm>
                      <a:off x="0" y="0"/>
                      <a:ext cx="2174240" cy="2192655"/>
                    </a:xfrm>
                    <a:prstGeom prst="rect">
                      <a:avLst/>
                    </a:prstGeom>
                  </pic:spPr>
                </pic:pic>
              </a:graphicData>
            </a:graphic>
            <wp14:sizeRelH relativeFrom="page">
              <wp14:pctWidth>0</wp14:pctWidth>
            </wp14:sizeRelH>
            <wp14:sizeRelV relativeFrom="page">
              <wp14:pctHeight>0</wp14:pctHeight>
            </wp14:sizeRelV>
          </wp:anchor>
        </w:drawing>
      </w:r>
      <w:r w:rsidR="00494EEB">
        <w:rPr>
          <w:rFonts w:ascii="Calibri" w:hAnsi="Calibri" w:cs="Calibri"/>
          <w:sz w:val="20"/>
          <w:szCs w:val="20"/>
        </w:rPr>
        <w:t xml:space="preserve">Informed by the work of the World Health Organization and the Centers for Disease Control and Prevention, Vitalyst and community partners developed the Elements of Healthy Community wheel in 2016 to identify and demonstrate the interrelated nature of 14 community factors that impact health. </w:t>
      </w:r>
      <w:r w:rsidR="00DF03AD">
        <w:rPr>
          <w:rFonts w:ascii="Calibri" w:hAnsi="Calibri" w:cs="Calibri"/>
          <w:sz w:val="20"/>
          <w:szCs w:val="20"/>
        </w:rPr>
        <w:t>Via conferences, meetings a</w:t>
      </w:r>
      <w:r w:rsidR="00B27503">
        <w:rPr>
          <w:rFonts w:ascii="Calibri" w:hAnsi="Calibri" w:cs="Calibri"/>
          <w:sz w:val="20"/>
          <w:szCs w:val="20"/>
        </w:rPr>
        <w:t>nd workshops</w:t>
      </w:r>
      <w:r w:rsidR="00DF03AD">
        <w:rPr>
          <w:rFonts w:ascii="Calibri" w:hAnsi="Calibri" w:cs="Calibri"/>
          <w:sz w:val="20"/>
          <w:szCs w:val="20"/>
        </w:rPr>
        <w:t>,</w:t>
      </w:r>
      <w:r w:rsidR="00494EEB">
        <w:rPr>
          <w:rFonts w:ascii="Calibri" w:hAnsi="Calibri" w:cs="Calibri"/>
          <w:sz w:val="20"/>
          <w:szCs w:val="20"/>
        </w:rPr>
        <w:t xml:space="preserve"> Vitalyst is </w:t>
      </w:r>
      <w:r w:rsidR="00DF03AD">
        <w:rPr>
          <w:rFonts w:ascii="Calibri" w:hAnsi="Calibri" w:cs="Calibri"/>
          <w:sz w:val="20"/>
          <w:szCs w:val="20"/>
        </w:rPr>
        <w:t xml:space="preserve">directly </w:t>
      </w:r>
      <w:r w:rsidR="007C6ED7">
        <w:rPr>
          <w:rFonts w:ascii="Calibri" w:hAnsi="Calibri" w:cs="Calibri"/>
          <w:sz w:val="20"/>
          <w:szCs w:val="20"/>
        </w:rPr>
        <w:t>engaging</w:t>
      </w:r>
      <w:r w:rsidR="00494EEB">
        <w:rPr>
          <w:rFonts w:ascii="Calibri" w:hAnsi="Calibri" w:cs="Calibri"/>
          <w:sz w:val="20"/>
          <w:szCs w:val="20"/>
        </w:rPr>
        <w:t xml:space="preserve"> councils of government, universities, counties, cities, towns, </w:t>
      </w:r>
      <w:r w:rsidR="007C6ED7">
        <w:rPr>
          <w:rFonts w:ascii="Calibri" w:hAnsi="Calibri" w:cs="Calibri"/>
          <w:sz w:val="20"/>
          <w:szCs w:val="20"/>
        </w:rPr>
        <w:t>business, nonprofits,</w:t>
      </w:r>
      <w:r w:rsidR="00494EEB">
        <w:rPr>
          <w:rFonts w:ascii="Calibri" w:hAnsi="Calibri" w:cs="Calibri"/>
          <w:sz w:val="20"/>
          <w:szCs w:val="20"/>
        </w:rPr>
        <w:t xml:space="preserve"> ass</w:t>
      </w:r>
      <w:r w:rsidR="007C6ED7">
        <w:rPr>
          <w:rFonts w:ascii="Calibri" w:hAnsi="Calibri" w:cs="Calibri"/>
          <w:sz w:val="20"/>
          <w:szCs w:val="20"/>
        </w:rPr>
        <w:t>ociations, chambers of commerce</w:t>
      </w:r>
      <w:r w:rsidR="00494EEB">
        <w:rPr>
          <w:rFonts w:ascii="Calibri" w:hAnsi="Calibri" w:cs="Calibri"/>
          <w:sz w:val="20"/>
          <w:szCs w:val="20"/>
        </w:rPr>
        <w:t xml:space="preserve"> and other stakeholders. </w:t>
      </w:r>
    </w:p>
    <w:p w14:paraId="015237B0" w14:textId="67E168EB" w:rsidR="00C55357" w:rsidRPr="005B4091" w:rsidRDefault="007C6ED7" w:rsidP="003C232E">
      <w:pPr>
        <w:pStyle w:val="BasicParagraph"/>
        <w:spacing w:before="270"/>
        <w:rPr>
          <w:rFonts w:asciiTheme="minorHAnsi" w:hAnsiTheme="minorHAnsi" w:cs="Calibri"/>
          <w:b/>
          <w:sz w:val="22"/>
          <w:szCs w:val="22"/>
        </w:rPr>
      </w:pPr>
      <w:r w:rsidRPr="005B4091">
        <w:rPr>
          <w:rFonts w:asciiTheme="minorHAnsi" w:hAnsiTheme="minorHAnsi"/>
          <w:b/>
          <w:color w:val="CD352F"/>
          <w:sz w:val="22"/>
          <w:szCs w:val="22"/>
        </w:rPr>
        <w:t>Our Goals:</w:t>
      </w:r>
    </w:p>
    <w:p w14:paraId="5A9371A8" w14:textId="77777777" w:rsidR="00C55357" w:rsidRDefault="00C55357" w:rsidP="007779D4">
      <w:pPr>
        <w:pStyle w:val="BasicParagraph"/>
        <w:numPr>
          <w:ilvl w:val="0"/>
          <w:numId w:val="1"/>
        </w:numPr>
        <w:ind w:left="2880" w:hanging="270"/>
        <w:rPr>
          <w:rFonts w:ascii="Calibri" w:hAnsi="Calibri" w:cs="Calibri"/>
          <w:sz w:val="20"/>
          <w:szCs w:val="20"/>
        </w:rPr>
      </w:pPr>
      <w:r>
        <w:rPr>
          <w:rFonts w:ascii="Calibri" w:hAnsi="Calibri" w:cs="Calibri"/>
          <w:sz w:val="20"/>
          <w:szCs w:val="20"/>
        </w:rPr>
        <w:t>Identify, lift up and celebrate efforts to help Arizonans be healthier and live well.</w:t>
      </w:r>
    </w:p>
    <w:p w14:paraId="656EF408" w14:textId="24FEBF7E" w:rsidR="00C55357" w:rsidRDefault="00C55357" w:rsidP="007779D4">
      <w:pPr>
        <w:pStyle w:val="BasicParagraph"/>
        <w:numPr>
          <w:ilvl w:val="0"/>
          <w:numId w:val="1"/>
        </w:numPr>
        <w:ind w:firstLine="497"/>
        <w:rPr>
          <w:rFonts w:ascii="Calibri" w:hAnsi="Calibri" w:cs="Calibri"/>
          <w:sz w:val="20"/>
          <w:szCs w:val="20"/>
        </w:rPr>
      </w:pPr>
      <w:r>
        <w:rPr>
          <w:rFonts w:ascii="Calibri" w:hAnsi="Calibri" w:cs="Calibri"/>
          <w:sz w:val="20"/>
          <w:szCs w:val="20"/>
        </w:rPr>
        <w:t>Facilitate connections between groups and sectors.</w:t>
      </w:r>
    </w:p>
    <w:p w14:paraId="6C94D6BB" w14:textId="65E7E093" w:rsidR="00C55357" w:rsidRDefault="00C55357" w:rsidP="007779D4">
      <w:pPr>
        <w:pStyle w:val="BasicParagraph"/>
        <w:numPr>
          <w:ilvl w:val="0"/>
          <w:numId w:val="1"/>
        </w:numPr>
        <w:ind w:firstLine="497"/>
        <w:rPr>
          <w:rFonts w:ascii="Calibri" w:hAnsi="Calibri" w:cs="Calibri"/>
          <w:sz w:val="20"/>
          <w:szCs w:val="20"/>
        </w:rPr>
      </w:pPr>
      <w:r>
        <w:rPr>
          <w:rFonts w:ascii="Calibri" w:hAnsi="Calibri" w:cs="Calibri"/>
          <w:sz w:val="20"/>
          <w:szCs w:val="20"/>
        </w:rPr>
        <w:t>Shift the health paradigm – health is more than health care.</w:t>
      </w:r>
    </w:p>
    <w:p w14:paraId="1B74AB9A" w14:textId="0B9F58FF" w:rsidR="00C55357" w:rsidRDefault="00C55357" w:rsidP="007779D4">
      <w:pPr>
        <w:pStyle w:val="BasicParagraph"/>
        <w:numPr>
          <w:ilvl w:val="0"/>
          <w:numId w:val="1"/>
        </w:numPr>
        <w:ind w:firstLine="497"/>
        <w:rPr>
          <w:rFonts w:ascii="Calibri" w:hAnsi="Calibri" w:cs="Calibri"/>
          <w:sz w:val="20"/>
          <w:szCs w:val="20"/>
        </w:rPr>
      </w:pPr>
      <w:r>
        <w:rPr>
          <w:rFonts w:ascii="Calibri" w:hAnsi="Calibri" w:cs="Calibri"/>
          <w:sz w:val="20"/>
          <w:szCs w:val="20"/>
        </w:rPr>
        <w:t>Influence policies and systems for change.</w:t>
      </w:r>
    </w:p>
    <w:p w14:paraId="39D02460" w14:textId="3A6CF812" w:rsidR="00A32FCC" w:rsidRDefault="006C1C45" w:rsidP="003C232E">
      <w:pPr>
        <w:pStyle w:val="BasicParagraph"/>
        <w:spacing w:before="270"/>
        <w:ind w:left="403"/>
        <w:rPr>
          <w:rFonts w:ascii="Calibri" w:hAnsi="Calibri" w:cs="Calibri"/>
          <w:sz w:val="20"/>
          <w:szCs w:val="20"/>
        </w:rPr>
      </w:pPr>
      <w:r w:rsidRPr="005B4091">
        <w:rPr>
          <w:rFonts w:asciiTheme="minorHAnsi" w:hAnsiTheme="minorHAnsi"/>
          <w:b/>
          <w:color w:val="CD352F"/>
          <w:sz w:val="22"/>
          <w:szCs w:val="22"/>
        </w:rPr>
        <w:t>What We’re Doing.</w:t>
      </w:r>
      <w:r>
        <w:rPr>
          <w:rFonts w:ascii="Calibri" w:hAnsi="Calibri" w:cs="Calibri"/>
          <w:sz w:val="20"/>
          <w:szCs w:val="20"/>
        </w:rPr>
        <w:t xml:space="preserve"> </w:t>
      </w:r>
      <w:r w:rsidR="00EE645B">
        <w:rPr>
          <w:rFonts w:ascii="Calibri" w:hAnsi="Calibri" w:cs="Calibri"/>
          <w:sz w:val="20"/>
          <w:szCs w:val="20"/>
        </w:rPr>
        <w:t>Vitalyst is connecting with as many stakeholder groups as possible, facilitating workshops to engage participants in shifting the health paradigm and developing next steps toward improving well-being and health in their communities.</w:t>
      </w:r>
      <w:r w:rsidR="002070CF">
        <w:rPr>
          <w:rFonts w:ascii="Calibri" w:hAnsi="Calibri" w:cs="Calibri"/>
          <w:sz w:val="20"/>
          <w:szCs w:val="20"/>
        </w:rPr>
        <w:t xml:space="preserve"> </w:t>
      </w:r>
      <w:r w:rsidR="00B27503">
        <w:rPr>
          <w:rFonts w:ascii="Calibri" w:hAnsi="Calibri" w:cs="Calibri"/>
          <w:sz w:val="20"/>
          <w:szCs w:val="20"/>
        </w:rPr>
        <w:t>At</w:t>
      </w:r>
      <w:r w:rsidR="00B61EE8">
        <w:rPr>
          <w:rFonts w:ascii="Calibri" w:hAnsi="Calibri" w:cs="Calibri"/>
          <w:sz w:val="20"/>
          <w:szCs w:val="20"/>
        </w:rPr>
        <w:t xml:space="preserve"> </w:t>
      </w:r>
      <w:r w:rsidR="00B27503">
        <w:rPr>
          <w:rFonts w:ascii="Calibri" w:hAnsi="Calibri" w:cs="Calibri"/>
          <w:sz w:val="20"/>
          <w:szCs w:val="20"/>
        </w:rPr>
        <w:t xml:space="preserve">the </w:t>
      </w:r>
      <w:r>
        <w:rPr>
          <w:rFonts w:ascii="Calibri" w:hAnsi="Calibri" w:cs="Calibri"/>
          <w:sz w:val="20"/>
          <w:szCs w:val="20"/>
        </w:rPr>
        <w:t xml:space="preserve">livewellaz.org </w:t>
      </w:r>
      <w:r w:rsidR="00B61EE8">
        <w:rPr>
          <w:rFonts w:ascii="Calibri" w:hAnsi="Calibri" w:cs="Calibri"/>
          <w:sz w:val="20"/>
          <w:szCs w:val="20"/>
        </w:rPr>
        <w:t xml:space="preserve">website </w:t>
      </w:r>
      <w:r w:rsidR="00B27503">
        <w:rPr>
          <w:rFonts w:ascii="Calibri" w:hAnsi="Calibri" w:cs="Calibri"/>
          <w:sz w:val="20"/>
          <w:szCs w:val="20"/>
        </w:rPr>
        <w:t>we are curating pages for the</w:t>
      </w:r>
      <w:r>
        <w:rPr>
          <w:rFonts w:ascii="Calibri" w:hAnsi="Calibri" w:cs="Calibri"/>
          <w:sz w:val="20"/>
          <w:szCs w:val="20"/>
        </w:rPr>
        <w:t xml:space="preserve"> Elements of a Healthy Community</w:t>
      </w:r>
      <w:r w:rsidR="002070CF">
        <w:rPr>
          <w:rFonts w:ascii="Calibri" w:hAnsi="Calibri" w:cs="Calibri"/>
          <w:sz w:val="20"/>
          <w:szCs w:val="20"/>
        </w:rPr>
        <w:t xml:space="preserve"> – with e</w:t>
      </w:r>
      <w:r w:rsidR="00B61EE8">
        <w:rPr>
          <w:rFonts w:ascii="Calibri" w:hAnsi="Calibri" w:cs="Calibri"/>
          <w:sz w:val="20"/>
          <w:szCs w:val="20"/>
        </w:rPr>
        <w:t>ach</w:t>
      </w:r>
      <w:r>
        <w:rPr>
          <w:rFonts w:ascii="Calibri" w:hAnsi="Calibri" w:cs="Calibri"/>
          <w:sz w:val="20"/>
          <w:szCs w:val="20"/>
        </w:rPr>
        <w:t xml:space="preserve"> element </w:t>
      </w:r>
      <w:r w:rsidR="00B61EE8">
        <w:rPr>
          <w:rFonts w:ascii="Calibri" w:hAnsi="Calibri" w:cs="Calibri"/>
          <w:sz w:val="20"/>
          <w:szCs w:val="20"/>
        </w:rPr>
        <w:t xml:space="preserve">page </w:t>
      </w:r>
      <w:r>
        <w:rPr>
          <w:rFonts w:ascii="Calibri" w:hAnsi="Calibri" w:cs="Calibri"/>
          <w:sz w:val="20"/>
          <w:szCs w:val="20"/>
        </w:rPr>
        <w:t>designed to provide visitor</w:t>
      </w:r>
      <w:r w:rsidR="00B27503">
        <w:rPr>
          <w:rFonts w:ascii="Calibri" w:hAnsi="Calibri" w:cs="Calibri"/>
          <w:sz w:val="20"/>
          <w:szCs w:val="20"/>
        </w:rPr>
        <w:t>s</w:t>
      </w:r>
      <w:r>
        <w:rPr>
          <w:rFonts w:ascii="Calibri" w:hAnsi="Calibri" w:cs="Calibri"/>
          <w:sz w:val="20"/>
          <w:szCs w:val="20"/>
        </w:rPr>
        <w:t xml:space="preserve"> </w:t>
      </w:r>
      <w:r w:rsidR="002070CF">
        <w:rPr>
          <w:rFonts w:ascii="Calibri" w:hAnsi="Calibri" w:cs="Calibri"/>
          <w:sz w:val="20"/>
          <w:szCs w:val="20"/>
        </w:rPr>
        <w:t xml:space="preserve">quick </w:t>
      </w:r>
      <w:r>
        <w:rPr>
          <w:rFonts w:ascii="Calibri" w:hAnsi="Calibri" w:cs="Calibri"/>
          <w:sz w:val="20"/>
          <w:szCs w:val="20"/>
        </w:rPr>
        <w:t>access to top national experts,</w:t>
      </w:r>
      <w:r w:rsidR="002070CF">
        <w:rPr>
          <w:rFonts w:ascii="Calibri" w:hAnsi="Calibri" w:cs="Calibri"/>
          <w:sz w:val="20"/>
          <w:szCs w:val="20"/>
        </w:rPr>
        <w:t xml:space="preserve"> key Arizona resources, </w:t>
      </w:r>
      <w:r>
        <w:rPr>
          <w:rFonts w:ascii="Calibri" w:hAnsi="Calibri" w:cs="Calibri"/>
          <w:sz w:val="20"/>
          <w:szCs w:val="20"/>
        </w:rPr>
        <w:t xml:space="preserve">projects already underway, and a short list of successful national projects that could be happening here soon. </w:t>
      </w:r>
      <w:r w:rsidR="00B27503">
        <w:rPr>
          <w:rFonts w:ascii="Calibri" w:hAnsi="Calibri" w:cs="Calibri"/>
          <w:sz w:val="20"/>
          <w:szCs w:val="20"/>
        </w:rPr>
        <w:t>In 2017, Vitalyst built upon a successful year of webinars and launched the Vitalyst Spark podcast with episodes that tell the stories behind the work of creating healthy communities</w:t>
      </w:r>
      <w:r w:rsidR="00B61EE8">
        <w:rPr>
          <w:rFonts w:ascii="Calibri" w:hAnsi="Calibri" w:cs="Calibri"/>
          <w:sz w:val="20"/>
          <w:szCs w:val="20"/>
        </w:rPr>
        <w:t xml:space="preserve">. </w:t>
      </w:r>
    </w:p>
    <w:p w14:paraId="15CDDB55" w14:textId="1E140B76" w:rsidR="00A32FCC" w:rsidRDefault="00A32FCC" w:rsidP="003C232E">
      <w:pPr>
        <w:pStyle w:val="BasicParagraph"/>
        <w:spacing w:before="270"/>
        <w:ind w:left="403"/>
        <w:rPr>
          <w:rFonts w:ascii="Calibri" w:hAnsi="Calibri" w:cs="Calibri"/>
          <w:sz w:val="20"/>
          <w:szCs w:val="20"/>
        </w:rPr>
      </w:pPr>
      <w:r w:rsidRPr="005B4091">
        <w:rPr>
          <w:rFonts w:asciiTheme="minorHAnsi" w:hAnsiTheme="minorHAnsi"/>
          <w:b/>
          <w:color w:val="CD352F"/>
          <w:sz w:val="22"/>
          <w:szCs w:val="22"/>
        </w:rPr>
        <w:t>Where We’re Heading.</w:t>
      </w:r>
      <w:r w:rsidR="00805796">
        <w:rPr>
          <w:rFonts w:ascii="Calibri" w:hAnsi="Calibri" w:cs="Calibri"/>
          <w:sz w:val="20"/>
          <w:szCs w:val="20"/>
        </w:rPr>
        <w:t xml:space="preserve"> The f</w:t>
      </w:r>
      <w:r>
        <w:rPr>
          <w:rFonts w:ascii="Calibri" w:hAnsi="Calibri" w:cs="Calibri"/>
          <w:sz w:val="20"/>
          <w:szCs w:val="20"/>
        </w:rPr>
        <w:t xml:space="preserve">eedback is clear: stakeholders and communities are interested in continuing this dialogue and approach </w:t>
      </w:r>
      <w:r w:rsidR="00B27503">
        <w:rPr>
          <w:rFonts w:ascii="Calibri" w:hAnsi="Calibri" w:cs="Calibri"/>
          <w:sz w:val="20"/>
          <w:szCs w:val="20"/>
        </w:rPr>
        <w:t>for the long haul</w:t>
      </w:r>
      <w:r>
        <w:rPr>
          <w:rFonts w:ascii="Calibri" w:hAnsi="Calibri" w:cs="Calibri"/>
          <w:sz w:val="20"/>
          <w:szCs w:val="20"/>
        </w:rPr>
        <w:t xml:space="preserve"> – and Vitalyst will be there to help. Through the website, </w:t>
      </w:r>
      <w:r w:rsidR="00805796">
        <w:rPr>
          <w:rFonts w:ascii="Calibri" w:hAnsi="Calibri" w:cs="Calibri"/>
          <w:sz w:val="20"/>
          <w:szCs w:val="20"/>
        </w:rPr>
        <w:t xml:space="preserve">podcast, </w:t>
      </w:r>
      <w:r>
        <w:rPr>
          <w:rFonts w:ascii="Calibri" w:hAnsi="Calibri" w:cs="Calibri"/>
          <w:sz w:val="20"/>
          <w:szCs w:val="20"/>
        </w:rPr>
        <w:t xml:space="preserve">convenings, workshops and methods we will </w:t>
      </w:r>
      <w:r w:rsidR="00805796">
        <w:rPr>
          <w:rFonts w:ascii="Calibri" w:hAnsi="Calibri" w:cs="Calibri"/>
          <w:sz w:val="20"/>
          <w:szCs w:val="20"/>
        </w:rPr>
        <w:t>develop</w:t>
      </w:r>
      <w:r>
        <w:rPr>
          <w:rFonts w:ascii="Calibri" w:hAnsi="Calibri" w:cs="Calibri"/>
          <w:sz w:val="20"/>
          <w:szCs w:val="20"/>
        </w:rPr>
        <w:t xml:space="preserve"> together with </w:t>
      </w:r>
      <w:r w:rsidR="00805796">
        <w:rPr>
          <w:rFonts w:ascii="Calibri" w:hAnsi="Calibri" w:cs="Calibri"/>
          <w:sz w:val="20"/>
          <w:szCs w:val="20"/>
        </w:rPr>
        <w:t>all interested parties</w:t>
      </w:r>
      <w:r>
        <w:rPr>
          <w:rFonts w:ascii="Calibri" w:hAnsi="Calibri" w:cs="Calibri"/>
          <w:sz w:val="20"/>
          <w:szCs w:val="20"/>
        </w:rPr>
        <w:t xml:space="preserve">, Vitalyst will continue </w:t>
      </w:r>
      <w:r w:rsidR="00B27503">
        <w:rPr>
          <w:rFonts w:ascii="Calibri" w:hAnsi="Calibri" w:cs="Calibri"/>
          <w:sz w:val="20"/>
          <w:szCs w:val="20"/>
        </w:rPr>
        <w:t xml:space="preserve">the momentum started by the 2017 Year of Healthy Communities, remaining focused on our overall </w:t>
      </w:r>
      <w:r w:rsidR="00805796">
        <w:rPr>
          <w:rFonts w:ascii="Calibri" w:hAnsi="Calibri" w:cs="Calibri"/>
          <w:sz w:val="20"/>
          <w:szCs w:val="20"/>
        </w:rPr>
        <w:t>goal</w:t>
      </w:r>
      <w:r>
        <w:rPr>
          <w:rFonts w:ascii="Calibri" w:hAnsi="Calibri" w:cs="Calibri"/>
          <w:sz w:val="20"/>
          <w:szCs w:val="20"/>
        </w:rPr>
        <w:t xml:space="preserve"> of shifting the health paradigm to produce policies, systems and environmental changes </w:t>
      </w:r>
      <w:r w:rsidR="00805796">
        <w:rPr>
          <w:rFonts w:ascii="Calibri" w:hAnsi="Calibri" w:cs="Calibri"/>
          <w:sz w:val="20"/>
          <w:szCs w:val="20"/>
        </w:rPr>
        <w:t>that</w:t>
      </w:r>
      <w:r>
        <w:rPr>
          <w:rFonts w:ascii="Calibri" w:hAnsi="Calibri" w:cs="Calibri"/>
          <w:sz w:val="20"/>
          <w:szCs w:val="20"/>
        </w:rPr>
        <w:t xml:space="preserve"> support </w:t>
      </w:r>
      <w:r w:rsidR="00805796">
        <w:rPr>
          <w:rFonts w:ascii="Calibri" w:hAnsi="Calibri" w:cs="Calibri"/>
          <w:sz w:val="20"/>
          <w:szCs w:val="20"/>
        </w:rPr>
        <w:t>an</w:t>
      </w:r>
      <w:r>
        <w:rPr>
          <w:rFonts w:ascii="Calibri" w:hAnsi="Calibri" w:cs="Calibri"/>
          <w:sz w:val="20"/>
          <w:szCs w:val="20"/>
        </w:rPr>
        <w:t xml:space="preserve"> over</w:t>
      </w:r>
      <w:r w:rsidR="00805796">
        <w:rPr>
          <w:rFonts w:ascii="Calibri" w:hAnsi="Calibri" w:cs="Calibri"/>
          <w:sz w:val="20"/>
          <w:szCs w:val="20"/>
        </w:rPr>
        <w:t>arching vision enabling all Arizonans to Live Well</w:t>
      </w:r>
      <w:r>
        <w:rPr>
          <w:rFonts w:ascii="Calibri" w:hAnsi="Calibri" w:cs="Calibri"/>
          <w:sz w:val="20"/>
          <w:szCs w:val="20"/>
        </w:rPr>
        <w:t>.</w:t>
      </w:r>
    </w:p>
    <w:p w14:paraId="5F6C2A6C" w14:textId="0B780A8E" w:rsidR="00622E2A" w:rsidRPr="00800792" w:rsidRDefault="00805796" w:rsidP="003C232E">
      <w:pPr>
        <w:pStyle w:val="BasicParagraph"/>
        <w:spacing w:before="270"/>
        <w:ind w:left="403"/>
        <w:rPr>
          <w:rFonts w:ascii="Calibri" w:hAnsi="Calibri" w:cs="Calibri"/>
          <w:sz w:val="20"/>
          <w:szCs w:val="20"/>
        </w:rPr>
      </w:pPr>
      <w:r w:rsidRPr="00636DE7">
        <w:rPr>
          <w:rFonts w:asciiTheme="minorHAnsi" w:hAnsiTheme="minorHAnsi"/>
          <w:b/>
          <w:color w:val="CD352F"/>
          <w:sz w:val="22"/>
          <w:szCs w:val="22"/>
        </w:rPr>
        <w:t>Connect, and Learn More.</w:t>
      </w:r>
      <w:r w:rsidR="00A32FCC">
        <w:rPr>
          <w:rFonts w:ascii="Calibri" w:hAnsi="Calibri" w:cs="Calibri"/>
          <w:sz w:val="20"/>
          <w:szCs w:val="20"/>
        </w:rPr>
        <w:t xml:space="preserve"> </w:t>
      </w:r>
      <w:r>
        <w:rPr>
          <w:rFonts w:ascii="Calibri" w:hAnsi="Calibri" w:cs="Calibri"/>
          <w:sz w:val="20"/>
          <w:szCs w:val="20"/>
        </w:rPr>
        <w:t>Visit livewellaz.org</w:t>
      </w:r>
    </w:p>
    <w:sectPr w:rsidR="00622E2A" w:rsidRPr="00800792" w:rsidSect="00E65198">
      <w:pgSz w:w="12240" w:h="15840"/>
      <w:pgMar w:top="1181" w:right="72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F9E"/>
    <w:multiLevelType w:val="hybridMultilevel"/>
    <w:tmpl w:val="126E718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499528EB"/>
    <w:multiLevelType w:val="hybridMultilevel"/>
    <w:tmpl w:val="E342101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E2A"/>
    <w:rsid w:val="00130698"/>
    <w:rsid w:val="002070CF"/>
    <w:rsid w:val="002E05AF"/>
    <w:rsid w:val="003646EE"/>
    <w:rsid w:val="003C232E"/>
    <w:rsid w:val="00494EEB"/>
    <w:rsid w:val="00557040"/>
    <w:rsid w:val="005B4091"/>
    <w:rsid w:val="005B5BC5"/>
    <w:rsid w:val="005C5F18"/>
    <w:rsid w:val="005F2F40"/>
    <w:rsid w:val="00622E2A"/>
    <w:rsid w:val="00636DE7"/>
    <w:rsid w:val="006B2C3C"/>
    <w:rsid w:val="006C1C45"/>
    <w:rsid w:val="00765DB8"/>
    <w:rsid w:val="007779D4"/>
    <w:rsid w:val="007C6ED7"/>
    <w:rsid w:val="00800792"/>
    <w:rsid w:val="00805796"/>
    <w:rsid w:val="008B27B8"/>
    <w:rsid w:val="008D4F2A"/>
    <w:rsid w:val="00A021EF"/>
    <w:rsid w:val="00A32FCC"/>
    <w:rsid w:val="00A96508"/>
    <w:rsid w:val="00AE4C52"/>
    <w:rsid w:val="00B27503"/>
    <w:rsid w:val="00B61EE8"/>
    <w:rsid w:val="00C55357"/>
    <w:rsid w:val="00C60D81"/>
    <w:rsid w:val="00D107AE"/>
    <w:rsid w:val="00D73EDD"/>
    <w:rsid w:val="00DC4537"/>
    <w:rsid w:val="00DF03AD"/>
    <w:rsid w:val="00E65198"/>
    <w:rsid w:val="00EE6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460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E2A"/>
    <w:rPr>
      <w:rFonts w:ascii="Lucida Grande" w:hAnsi="Lucida Grande" w:cs="Lucida Grande"/>
      <w:sz w:val="18"/>
      <w:szCs w:val="18"/>
    </w:rPr>
  </w:style>
  <w:style w:type="paragraph" w:customStyle="1" w:styleId="BasicParagraph">
    <w:name w:val="[Basic Paragraph]"/>
    <w:basedOn w:val="Normal"/>
    <w:uiPriority w:val="99"/>
    <w:rsid w:val="00D10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1ba6f41-9f7b-4466-8b09-c0784508a2c9">36UYY7TXC3F5-1590618885-7474</_dlc_DocId>
    <_dlc_DocIdUrl xmlns="c1ba6f41-9f7b-4466-8b09-c0784508a2c9">
      <Url>https://slhi.sharepoint.com/sites/VitalystFileShare/_layouts/15/DocIdRedir.aspx?ID=36UYY7TXC3F5-1590618885-7474</Url>
      <Description>36UYY7TXC3F5-1590618885-7474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EE9A9F1A8FE8F4DA7341C00986F994E" ma:contentTypeVersion="10" ma:contentTypeDescription="Create a new document." ma:contentTypeScope="" ma:versionID="76af5a920df8b094ed0f088b41b5ef83">
  <xsd:schema xmlns:xsd="http://www.w3.org/2001/XMLSchema" xmlns:xs="http://www.w3.org/2001/XMLSchema" xmlns:p="http://schemas.microsoft.com/office/2006/metadata/properties" xmlns:ns2="c1ba6f41-9f7b-4466-8b09-c0784508a2c9" xmlns:ns3="eea5dce6-d01b-44a1-9f2d-6d4861c5caf9" targetNamespace="http://schemas.microsoft.com/office/2006/metadata/properties" ma:root="true" ma:fieldsID="951cfd96e6c67b950098ff0d796f4c99" ns2:_="" ns3:_="">
    <xsd:import namespace="c1ba6f41-9f7b-4466-8b09-c0784508a2c9"/>
    <xsd:import namespace="eea5dce6-d01b-44a1-9f2d-6d4861c5caf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a6f41-9f7b-4466-8b09-c0784508a2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ea5dce6-d01b-44a1-9f2d-6d4861c5ca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E6842-9F35-4C2A-854D-EBAA592FC315}">
  <ds:schemaRefs>
    <ds:schemaRef ds:uri="http://schemas.microsoft.com/office/2006/metadata/properties"/>
    <ds:schemaRef ds:uri="http://schemas.microsoft.com/office/infopath/2007/PartnerControls"/>
    <ds:schemaRef ds:uri="8b37eac8-86e8-41d0-b848-12535476f537"/>
  </ds:schemaRefs>
</ds:datastoreItem>
</file>

<file path=customXml/itemProps2.xml><?xml version="1.0" encoding="utf-8"?>
<ds:datastoreItem xmlns:ds="http://schemas.openxmlformats.org/officeDocument/2006/customXml" ds:itemID="{BA468AE5-C76C-4B89-A340-F1575082D2A9}">
  <ds:schemaRefs>
    <ds:schemaRef ds:uri="http://schemas.microsoft.com/sharepoint/v3/contenttype/forms"/>
  </ds:schemaRefs>
</ds:datastoreItem>
</file>

<file path=customXml/itemProps3.xml><?xml version="1.0" encoding="utf-8"?>
<ds:datastoreItem xmlns:ds="http://schemas.openxmlformats.org/officeDocument/2006/customXml" ds:itemID="{2431776C-D0D3-465A-9CB6-EE48210B5622}">
  <ds:schemaRefs>
    <ds:schemaRef ds:uri="http://schemas.microsoft.com/sharepoint/events"/>
  </ds:schemaRefs>
</ds:datastoreItem>
</file>

<file path=customXml/itemProps4.xml><?xml version="1.0" encoding="utf-8"?>
<ds:datastoreItem xmlns:ds="http://schemas.openxmlformats.org/officeDocument/2006/customXml" ds:itemID="{4BCD57C3-E0C3-4B3C-93F8-8400B964B5D4}"/>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Chalk Design</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Heard</dc:creator>
  <cp:keywords/>
  <dc:description/>
  <cp:lastModifiedBy>Kelsey Otten</cp:lastModifiedBy>
  <cp:revision>2</cp:revision>
  <dcterms:created xsi:type="dcterms:W3CDTF">2020-03-19T15:21:00Z</dcterms:created>
  <dcterms:modified xsi:type="dcterms:W3CDTF">2020-03-19T15:21:00Z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0x010100DEE9A9F1A8FE8F4DA7341C00986F994E</vt:lpwstr>
  </property>
  <property fmtid="{D5CDD505-2E9C-101B-9397-08002B2CF9AE}" pid="3" name="_dlc_DocIdItemGuid">
    <vt:lpwstr>eb17df16-99ea-4b18-8cfe-57a75a9a5808</vt:lpwstr>
  </property>
</Properties>
</file>